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14" w:type="pct"/>
        <w:jc w:val="center"/>
        <w:tblLayout w:type="fixed"/>
        <w:tblCellMar>
          <w:left w:w="0" w:type="dxa"/>
          <w:right w:w="0" w:type="dxa"/>
        </w:tblCellMar>
        <w:tblLook w:val="0600" w:firstRow="0" w:lastRow="0" w:firstColumn="0" w:lastColumn="0" w:noHBand="1" w:noVBand="1"/>
      </w:tblPr>
      <w:tblGrid>
        <w:gridCol w:w="6297"/>
        <w:gridCol w:w="3864"/>
        <w:gridCol w:w="9"/>
      </w:tblGrid>
      <w:tr w:rsidR="00180E32" w:rsidRPr="00C50D7D" w14:paraId="0897AE26" w14:textId="77777777" w:rsidTr="00685310">
        <w:trPr>
          <w:gridAfter w:val="1"/>
          <w:wAfter w:w="9" w:type="dxa"/>
          <w:trHeight w:val="1080"/>
          <w:jc w:val="center"/>
        </w:trPr>
        <w:tc>
          <w:tcPr>
            <w:tcW w:w="10160" w:type="dxa"/>
            <w:gridSpan w:val="2"/>
            <w:shd w:val="clear" w:color="auto" w:fill="auto"/>
          </w:tcPr>
          <w:p w14:paraId="4468EEA3" w14:textId="72F21E3C" w:rsidR="00180E32" w:rsidRPr="00281B2F" w:rsidRDefault="00AA5765" w:rsidP="00160B98">
            <w:pPr>
              <w:pStyle w:val="TOC2"/>
              <w:rPr>
                <w:sz w:val="64"/>
                <w:szCs w:val="64"/>
              </w:rPr>
            </w:pPr>
            <w:r>
              <w:rPr>
                <w:noProof/>
              </w:rPr>
              <w:drawing>
                <wp:anchor distT="0" distB="0" distL="114300" distR="114300" simplePos="0" relativeHeight="251659264" behindDoc="0" locked="0" layoutInCell="1" allowOverlap="1" wp14:anchorId="0FD68E15" wp14:editId="1E84FB04">
                  <wp:simplePos x="0" y="0"/>
                  <wp:positionH relativeFrom="column">
                    <wp:posOffset>5191125</wp:posOffset>
                  </wp:positionH>
                  <wp:positionV relativeFrom="paragraph">
                    <wp:posOffset>-123825</wp:posOffset>
                  </wp:positionV>
                  <wp:extent cx="941705" cy="1260861"/>
                  <wp:effectExtent l="38100" t="38100" r="29845" b="34925"/>
                  <wp:wrapNone/>
                  <wp:docPr id="7" name="Picture 7" descr="A child standing next to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ld standing next to a bus&#10;&#10;Description automatically generated"/>
                          <pic:cNvPicPr/>
                        </pic:nvPicPr>
                        <pic:blipFill>
                          <a:blip r:embed="rId5"/>
                          <a:stretch>
                            <a:fillRect/>
                          </a:stretch>
                        </pic:blipFill>
                        <pic:spPr>
                          <a:xfrm>
                            <a:off x="0" y="0"/>
                            <a:ext cx="941705" cy="1260861"/>
                          </a:xfrm>
                          <a:prstGeom prst="rect">
                            <a:avLst/>
                          </a:prstGeom>
                          <a:ln w="25400">
                            <a:solidFill>
                              <a:schemeClr val="accent6">
                                <a:lumMod val="50000"/>
                              </a:schemeClr>
                            </a:solidFill>
                          </a:ln>
                        </pic:spPr>
                      </pic:pic>
                    </a:graphicData>
                  </a:graphic>
                  <wp14:sizeRelH relativeFrom="margin">
                    <wp14:pctWidth>0</wp14:pctWidth>
                  </wp14:sizeRelH>
                  <wp14:sizeRelV relativeFrom="margin">
                    <wp14:pctHeight>0</wp14:pctHeight>
                  </wp14:sizeRelV>
                </wp:anchor>
              </w:drawing>
            </w:r>
            <w:r w:rsidR="0079349D">
              <w:t>Section 504:</w:t>
            </w:r>
            <w:r w:rsidR="004D3A83">
              <w:rPr>
                <w:noProof/>
              </w:rPr>
              <w:t xml:space="preserve"> </w:t>
            </w:r>
          </w:p>
        </w:tc>
      </w:tr>
      <w:tr w:rsidR="00051DD4" w:rsidRPr="00C50D7D" w14:paraId="4F6D400F" w14:textId="77777777" w:rsidTr="00685310">
        <w:trPr>
          <w:trHeight w:val="953"/>
          <w:jc w:val="center"/>
        </w:trPr>
        <w:tc>
          <w:tcPr>
            <w:tcW w:w="6296" w:type="dxa"/>
            <w:shd w:val="clear" w:color="auto" w:fill="125E36"/>
            <w:vAlign w:val="center"/>
          </w:tcPr>
          <w:p w14:paraId="78949A08" w14:textId="79E3C125" w:rsidR="00051DD4" w:rsidRPr="00180E32" w:rsidRDefault="00160B98" w:rsidP="00281B2F">
            <w:pPr>
              <w:spacing w:before="0" w:after="80" w:line="240" w:lineRule="auto"/>
              <w:rPr>
                <w:rFonts w:ascii="Book Antiqua" w:eastAsia="Book Antiqua" w:hAnsi="Book Antiqua" w:cs="Times New Roman"/>
                <w:b/>
                <w:color w:val="4D4436"/>
                <w:sz w:val="68"/>
                <w:szCs w:val="68"/>
                <w:lang w:eastAsia="ja-JP"/>
              </w:rPr>
            </w:pPr>
            <w:r>
              <w:rPr>
                <w:rFonts w:ascii="Book Antiqua" w:eastAsia="Times New Roman" w:hAnsi="Book Antiqua" w:cs="Times New Roman"/>
                <w:color w:val="FFFFFF"/>
                <w:kern w:val="28"/>
                <w:sz w:val="44"/>
                <w:lang w:eastAsia="ja-JP"/>
              </w:rPr>
              <w:t xml:space="preserve"> </w:t>
            </w:r>
            <w:r w:rsidR="00051DD4" w:rsidRPr="006A0F56">
              <w:rPr>
                <w:rFonts w:ascii="Book Antiqua" w:eastAsia="Times New Roman" w:hAnsi="Book Antiqua" w:cs="Times New Roman"/>
                <w:color w:val="FFFFFF"/>
                <w:kern w:val="28"/>
                <w:sz w:val="44"/>
                <w:lang w:eastAsia="ja-JP"/>
              </w:rPr>
              <w:t>Unatego Central School District</w:t>
            </w:r>
          </w:p>
        </w:tc>
        <w:tc>
          <w:tcPr>
            <w:tcW w:w="3873" w:type="dxa"/>
            <w:gridSpan w:val="2"/>
            <w:vMerge w:val="restart"/>
          </w:tcPr>
          <w:p w14:paraId="2DD03ED0" w14:textId="1CBBFD53" w:rsidR="00D52824" w:rsidRDefault="00D52824" w:rsidP="00474C39">
            <w:pPr>
              <w:keepNext/>
              <w:keepLines/>
              <w:spacing w:before="120" w:after="0" w:line="240" w:lineRule="auto"/>
              <w:ind w:left="144" w:right="360"/>
              <w:jc w:val="right"/>
              <w:outlineLvl w:val="1"/>
              <w:rPr>
                <w:rFonts w:ascii="Book Antiqua" w:eastAsia="Times New Roman" w:hAnsi="Book Antiqua" w:cs="Times New Roman"/>
                <w:b/>
                <w:bCs/>
                <w:color w:val="125E36"/>
                <w:sz w:val="28"/>
                <w:szCs w:val="22"/>
                <w:lang w:eastAsia="ja-JP"/>
              </w:rPr>
            </w:pPr>
          </w:p>
          <w:p w14:paraId="40C0E1BA" w14:textId="77777777" w:rsidR="00474C39" w:rsidRDefault="00474C39" w:rsidP="001B3E23">
            <w:pPr>
              <w:keepNext/>
              <w:keepLines/>
              <w:spacing w:before="0" w:after="0" w:line="240" w:lineRule="auto"/>
              <w:ind w:left="144" w:right="360"/>
              <w:jc w:val="right"/>
              <w:outlineLvl w:val="1"/>
              <w:rPr>
                <w:rFonts w:ascii="Book Antiqua" w:eastAsia="Times New Roman" w:hAnsi="Book Antiqua" w:cs="Times New Roman"/>
                <w:b/>
                <w:bCs/>
                <w:color w:val="125E36"/>
                <w:sz w:val="28"/>
                <w:szCs w:val="22"/>
                <w:lang w:eastAsia="ja-JP"/>
              </w:rPr>
            </w:pPr>
          </w:p>
          <w:p w14:paraId="6B4661F1" w14:textId="0BF899E8" w:rsidR="00051DD4" w:rsidRPr="00E15C81" w:rsidRDefault="00051DD4" w:rsidP="00AA5765">
            <w:pPr>
              <w:keepNext/>
              <w:keepLines/>
              <w:spacing w:before="240" w:after="0" w:line="240" w:lineRule="auto"/>
              <w:ind w:left="144" w:right="360"/>
              <w:jc w:val="right"/>
              <w:outlineLvl w:val="1"/>
              <w:rPr>
                <w:rFonts w:ascii="Book Antiqua" w:eastAsia="Times New Roman" w:hAnsi="Book Antiqua" w:cs="Times New Roman"/>
                <w:b/>
                <w:bCs/>
                <w:color w:val="125E36"/>
                <w:sz w:val="28"/>
                <w:szCs w:val="22"/>
                <w:lang w:eastAsia="ja-JP"/>
              </w:rPr>
            </w:pPr>
            <w:r w:rsidRPr="00E15C81">
              <w:rPr>
                <w:rFonts w:ascii="Book Antiqua" w:eastAsia="Times New Roman" w:hAnsi="Book Antiqua" w:cs="Times New Roman"/>
                <w:b/>
                <w:bCs/>
                <w:color w:val="125E36"/>
                <w:sz w:val="28"/>
                <w:szCs w:val="22"/>
                <w:lang w:eastAsia="ja-JP"/>
              </w:rPr>
              <w:t>Contact Us:</w:t>
            </w:r>
          </w:p>
          <w:p w14:paraId="06285CEE" w14:textId="77777777" w:rsidR="00051DD4" w:rsidRPr="00E15C81" w:rsidRDefault="00051DD4" w:rsidP="00D52824">
            <w:pPr>
              <w:spacing w:before="0" w:after="0" w:line="240" w:lineRule="auto"/>
              <w:ind w:left="605" w:right="360" w:hanging="461"/>
              <w:jc w:val="right"/>
              <w:rPr>
                <w:rFonts w:ascii="Book Antiqua" w:eastAsia="Book Antiqua" w:hAnsi="Book Antiqua" w:cs="Times New Roman"/>
                <w:b/>
                <w:bCs/>
                <w:color w:val="4D4436"/>
                <w:sz w:val="24"/>
                <w:lang w:eastAsia="ja-JP"/>
              </w:rPr>
            </w:pPr>
            <w:r w:rsidRPr="00E15C81">
              <w:rPr>
                <w:rFonts w:ascii="Book Antiqua" w:eastAsia="Book Antiqua" w:hAnsi="Book Antiqua" w:cs="Times New Roman"/>
                <w:b/>
                <w:bCs/>
                <w:color w:val="4D4436"/>
                <w:sz w:val="24"/>
                <w:lang w:eastAsia="ja-JP"/>
              </w:rPr>
              <w:t>Special Programs Office</w:t>
            </w:r>
          </w:p>
          <w:p w14:paraId="5581CC09" w14:textId="77777777" w:rsidR="00051DD4" w:rsidRPr="00AB6DAF" w:rsidRDefault="00051DD4" w:rsidP="00D52824">
            <w:pPr>
              <w:spacing w:before="0" w:after="0" w:line="240" w:lineRule="auto"/>
              <w:ind w:left="605" w:right="360" w:hanging="461"/>
              <w:jc w:val="right"/>
              <w:rPr>
                <w:rFonts w:ascii="Book Antiqua" w:eastAsia="Book Antiqua" w:hAnsi="Book Antiqua" w:cs="Times New Roman"/>
                <w:color w:val="4D4436"/>
                <w:sz w:val="22"/>
                <w:szCs w:val="22"/>
                <w:lang w:eastAsia="ja-JP"/>
              </w:rPr>
            </w:pPr>
            <w:r w:rsidRPr="00AB6DAF">
              <w:rPr>
                <w:rFonts w:ascii="Book Antiqua" w:eastAsia="Book Antiqua" w:hAnsi="Book Antiqua" w:cs="Times New Roman"/>
                <w:color w:val="4D4436"/>
                <w:sz w:val="22"/>
                <w:szCs w:val="22"/>
                <w:lang w:eastAsia="ja-JP"/>
              </w:rPr>
              <w:t>2641 State Highway 7</w:t>
            </w:r>
          </w:p>
          <w:p w14:paraId="6F7D4A3C" w14:textId="77777777" w:rsidR="00051DD4" w:rsidRPr="00AB6DAF" w:rsidRDefault="00051DD4" w:rsidP="00D52824">
            <w:pPr>
              <w:spacing w:before="0" w:after="0" w:line="240" w:lineRule="auto"/>
              <w:ind w:left="605" w:right="360" w:hanging="461"/>
              <w:jc w:val="right"/>
              <w:rPr>
                <w:rFonts w:ascii="Book Antiqua" w:eastAsia="Book Antiqua" w:hAnsi="Book Antiqua" w:cs="Times New Roman"/>
                <w:color w:val="4D4436"/>
                <w:sz w:val="22"/>
                <w:szCs w:val="22"/>
                <w:lang w:eastAsia="ja-JP"/>
              </w:rPr>
            </w:pPr>
            <w:r w:rsidRPr="00AB6DAF">
              <w:rPr>
                <w:rFonts w:ascii="Book Antiqua" w:eastAsia="Book Antiqua" w:hAnsi="Book Antiqua" w:cs="Times New Roman"/>
                <w:color w:val="4D4436"/>
                <w:sz w:val="22"/>
                <w:szCs w:val="22"/>
                <w:lang w:eastAsia="ja-JP"/>
              </w:rPr>
              <w:t>P.O. Box 483</w:t>
            </w:r>
          </w:p>
          <w:p w14:paraId="3495DF40" w14:textId="77777777" w:rsidR="00051DD4" w:rsidRPr="00E15C81" w:rsidRDefault="00051DD4" w:rsidP="00D52824">
            <w:pPr>
              <w:spacing w:before="0" w:after="0" w:line="240" w:lineRule="auto"/>
              <w:ind w:left="605" w:right="360" w:hanging="461"/>
              <w:jc w:val="right"/>
              <w:rPr>
                <w:rFonts w:ascii="Book Antiqua" w:eastAsia="Book Antiqua" w:hAnsi="Book Antiqua" w:cs="Times New Roman"/>
                <w:color w:val="4D4436"/>
                <w:sz w:val="24"/>
                <w:lang w:eastAsia="ja-JP"/>
              </w:rPr>
            </w:pPr>
            <w:r w:rsidRPr="00AB6DAF">
              <w:rPr>
                <w:rFonts w:ascii="Book Antiqua" w:eastAsia="Book Antiqua" w:hAnsi="Book Antiqua" w:cs="Times New Roman"/>
                <w:color w:val="4D4436"/>
                <w:sz w:val="22"/>
                <w:szCs w:val="22"/>
                <w:lang w:eastAsia="ja-JP"/>
              </w:rPr>
              <w:t>Otego, Ny 13825</w:t>
            </w:r>
          </w:p>
          <w:p w14:paraId="409E9D41" w14:textId="77777777" w:rsidR="00051DD4" w:rsidRDefault="00051DD4" w:rsidP="00D52824">
            <w:pPr>
              <w:spacing w:before="0" w:after="0" w:line="240" w:lineRule="auto"/>
              <w:ind w:left="144" w:right="360"/>
              <w:jc w:val="right"/>
              <w:rPr>
                <w:rFonts w:ascii="Book Antiqua" w:eastAsia="Book Antiqua" w:hAnsi="Book Antiqua" w:cs="Times New Roman"/>
                <w:color w:val="4D4436"/>
                <w:sz w:val="24"/>
                <w:lang w:eastAsia="ja-JP"/>
              </w:rPr>
            </w:pPr>
            <w:r w:rsidRPr="00A33292">
              <w:rPr>
                <w:rFonts w:ascii="Book Antiqua" w:eastAsia="Book Antiqua" w:hAnsi="Book Antiqua" w:cs="Times New Roman"/>
                <w:color w:val="4D4436"/>
                <w:sz w:val="24"/>
                <w:lang w:eastAsia="ja-JP"/>
              </w:rPr>
              <w:t>Phone: 607-988-5034</w:t>
            </w:r>
          </w:p>
          <w:p w14:paraId="77E60C28" w14:textId="54905877" w:rsidR="00051DD4" w:rsidRPr="00C50D7D" w:rsidRDefault="00051DD4" w:rsidP="00D52824">
            <w:pPr>
              <w:spacing w:before="0" w:after="0" w:line="240" w:lineRule="auto"/>
              <w:ind w:left="144" w:right="360"/>
              <w:jc w:val="right"/>
              <w:rPr>
                <w:rFonts w:ascii="Book Antiqua" w:hAnsi="Book Antiqua"/>
              </w:rPr>
            </w:pPr>
            <w:r>
              <w:rPr>
                <w:rFonts w:ascii="Book Antiqua" w:eastAsia="Book Antiqua" w:hAnsi="Book Antiqua" w:cs="Times New Roman"/>
                <w:color w:val="4D4436"/>
                <w:sz w:val="24"/>
                <w:lang w:eastAsia="ja-JP"/>
              </w:rPr>
              <w:t>Fax: 607-988-5070</w:t>
            </w:r>
          </w:p>
        </w:tc>
      </w:tr>
      <w:tr w:rsidR="00051DD4" w:rsidRPr="00C50D7D" w14:paraId="66D37226" w14:textId="77777777" w:rsidTr="00AA5765">
        <w:trPr>
          <w:trHeight w:val="2376"/>
          <w:jc w:val="center"/>
        </w:trPr>
        <w:tc>
          <w:tcPr>
            <w:tcW w:w="6296" w:type="dxa"/>
            <w:shd w:val="clear" w:color="auto" w:fill="auto"/>
          </w:tcPr>
          <w:p w14:paraId="2DA71F95" w14:textId="6BB17AEF" w:rsidR="00E7521D" w:rsidRPr="00C95CD8" w:rsidRDefault="00E7521D" w:rsidP="00160B98">
            <w:pPr>
              <w:spacing w:before="120" w:after="0" w:line="240" w:lineRule="auto"/>
              <w:ind w:right="130"/>
              <w:rPr>
                <w:rFonts w:ascii="Book Antiqua" w:eastAsia="Book Antiqua" w:hAnsi="Book Antiqua" w:cs="Times New Roman"/>
                <w:b/>
                <w:color w:val="125E36"/>
                <w:sz w:val="28"/>
                <w:szCs w:val="22"/>
                <w:lang w:eastAsia="ja-JP"/>
              </w:rPr>
            </w:pPr>
            <w:r w:rsidRPr="00C95CD8">
              <w:rPr>
                <w:rFonts w:ascii="Book Antiqua" w:eastAsia="Book Antiqua" w:hAnsi="Book Antiqua" w:cs="Times New Roman"/>
                <w:b/>
                <w:color w:val="125E36"/>
                <w:sz w:val="28"/>
                <w:szCs w:val="22"/>
                <w:lang w:eastAsia="ja-JP"/>
              </w:rPr>
              <w:t xml:space="preserve">What is </w:t>
            </w:r>
            <w:r w:rsidR="004D3A83">
              <w:rPr>
                <w:rFonts w:ascii="Book Antiqua" w:eastAsia="Book Antiqua" w:hAnsi="Book Antiqua" w:cs="Times New Roman"/>
                <w:b/>
                <w:color w:val="125E36"/>
                <w:sz w:val="28"/>
                <w:szCs w:val="22"/>
                <w:lang w:eastAsia="ja-JP"/>
              </w:rPr>
              <w:t>Section 504</w:t>
            </w:r>
            <w:r w:rsidRPr="00C95CD8">
              <w:rPr>
                <w:rFonts w:ascii="Book Antiqua" w:eastAsia="Book Antiqua" w:hAnsi="Book Antiqua" w:cs="Times New Roman"/>
                <w:b/>
                <w:color w:val="125E36"/>
                <w:sz w:val="28"/>
                <w:szCs w:val="22"/>
                <w:lang w:eastAsia="ja-JP"/>
              </w:rPr>
              <w:t>?</w:t>
            </w:r>
          </w:p>
          <w:p w14:paraId="29C650FD" w14:textId="518CEF77" w:rsidR="00051DD4" w:rsidRPr="00180E32" w:rsidRDefault="008A793C" w:rsidP="00160B98">
            <w:pPr>
              <w:spacing w:before="0" w:after="80" w:line="240" w:lineRule="auto"/>
              <w:ind w:right="130"/>
              <w:rPr>
                <w:rFonts w:ascii="Book Antiqua" w:eastAsia="Book Antiqua" w:hAnsi="Book Antiqua" w:cs="Times New Roman"/>
                <w:b/>
                <w:color w:val="4D4436"/>
                <w:sz w:val="68"/>
                <w:szCs w:val="68"/>
                <w:lang w:eastAsia="ja-JP"/>
              </w:rPr>
            </w:pPr>
            <w:r>
              <w:rPr>
                <w:rFonts w:ascii="Book Antiqua" w:eastAsia="SimSun" w:hAnsi="Book Antiqua" w:cs="Calibri"/>
                <w:color w:val="4D4436"/>
                <w:sz w:val="22"/>
                <w:lang w:eastAsia="zh-CN"/>
              </w:rPr>
              <w:t xml:space="preserve">  </w:t>
            </w:r>
            <w:r w:rsidRPr="002C4947">
              <w:rPr>
                <w:rFonts w:ascii="Book Antiqua" w:eastAsia="SimSun" w:hAnsi="Book Antiqua" w:cs="Calibri"/>
                <w:color w:val="4D4436"/>
                <w:sz w:val="22"/>
                <w:lang w:eastAsia="zh-CN"/>
              </w:rPr>
              <w:t xml:space="preserve">Section 504 </w:t>
            </w:r>
            <w:r w:rsidR="00F83A1F" w:rsidRPr="00B92A97">
              <w:rPr>
                <w:rFonts w:ascii="Book Antiqua" w:eastAsia="SimSun" w:hAnsi="Book Antiqua" w:cs="Calibri"/>
                <w:color w:val="4D4436"/>
                <w:sz w:val="22"/>
                <w:lang w:eastAsia="zh-CN"/>
              </w:rPr>
              <w:t>of the Rehabilitation Act of 1973</w:t>
            </w:r>
            <w:r w:rsidR="00F83A1F">
              <w:rPr>
                <w:rFonts w:ascii="Book Antiqua" w:eastAsia="SimSun" w:hAnsi="Book Antiqua" w:cs="Calibri"/>
                <w:color w:val="4D4436"/>
                <w:sz w:val="22"/>
                <w:lang w:eastAsia="zh-CN"/>
              </w:rPr>
              <w:t xml:space="preserve"> requires that public schools </w:t>
            </w:r>
            <w:r w:rsidR="00193608">
              <w:rPr>
                <w:rFonts w:ascii="Book Antiqua" w:eastAsia="SimSun" w:hAnsi="Book Antiqua" w:cs="Calibri"/>
                <w:color w:val="4D4436"/>
                <w:sz w:val="22"/>
                <w:lang w:eastAsia="zh-CN"/>
              </w:rPr>
              <w:t xml:space="preserve">take steps to ensure disabled students are not discriminated against. </w:t>
            </w:r>
            <w:r w:rsidR="00B92A97" w:rsidRPr="00B92A97">
              <w:rPr>
                <w:rFonts w:ascii="Book Antiqua" w:eastAsia="SimSun" w:hAnsi="Book Antiqua" w:cs="Calibri"/>
                <w:color w:val="4D4436"/>
                <w:sz w:val="22"/>
                <w:lang w:eastAsia="zh-CN"/>
              </w:rPr>
              <w:t>This law specifies that students with disabilities must be provided with accommodations or modifications such that they can access a Free and Appropriate Education (FAPE).</w:t>
            </w:r>
          </w:p>
        </w:tc>
        <w:tc>
          <w:tcPr>
            <w:tcW w:w="3873" w:type="dxa"/>
            <w:gridSpan w:val="2"/>
            <w:vMerge/>
            <w:vAlign w:val="center"/>
          </w:tcPr>
          <w:p w14:paraId="381DB5C7" w14:textId="77777777" w:rsidR="00051DD4" w:rsidRPr="00051DD4" w:rsidRDefault="00051DD4" w:rsidP="00CA7D4F">
            <w:pPr>
              <w:keepNext/>
              <w:keepLines/>
              <w:spacing w:before="0" w:after="0" w:line="240" w:lineRule="auto"/>
              <w:ind w:left="144" w:right="360"/>
              <w:jc w:val="right"/>
              <w:outlineLvl w:val="1"/>
              <w:rPr>
                <w:rFonts w:ascii="Book Antiqua" w:eastAsia="Times New Roman" w:hAnsi="Book Antiqua" w:cs="Times New Roman"/>
                <w:b/>
                <w:bCs/>
                <w:color w:val="125E36"/>
                <w:sz w:val="22"/>
                <w:szCs w:val="18"/>
                <w:lang w:eastAsia="ja-JP"/>
              </w:rPr>
            </w:pPr>
          </w:p>
        </w:tc>
      </w:tr>
      <w:tr w:rsidR="00E7521D" w:rsidRPr="00C50D7D" w14:paraId="768ED93C" w14:textId="77777777" w:rsidTr="00685310">
        <w:trPr>
          <w:trHeight w:val="1503"/>
          <w:jc w:val="center"/>
        </w:trPr>
        <w:tc>
          <w:tcPr>
            <w:tcW w:w="6296" w:type="dxa"/>
          </w:tcPr>
          <w:p w14:paraId="3522E697" w14:textId="77777777" w:rsidR="00157C88" w:rsidRPr="005F3A40" w:rsidRDefault="00157C88" w:rsidP="00160B98">
            <w:pPr>
              <w:spacing w:before="0" w:after="0" w:line="240" w:lineRule="auto"/>
              <w:ind w:right="130"/>
              <w:rPr>
                <w:rFonts w:ascii="Book Antiqua" w:eastAsia="Book Antiqua" w:hAnsi="Book Antiqua" w:cs="Times New Roman"/>
                <w:b/>
                <w:color w:val="4D4436"/>
                <w:sz w:val="20"/>
                <w:szCs w:val="22"/>
                <w:lang w:eastAsia="ja-JP"/>
              </w:rPr>
            </w:pPr>
            <w:r>
              <w:rPr>
                <w:rFonts w:ascii="Book Antiqua" w:eastAsia="Book Antiqua" w:hAnsi="Book Antiqua" w:cs="Times New Roman"/>
                <w:b/>
                <w:color w:val="125E36"/>
                <w:sz w:val="28"/>
                <w:szCs w:val="32"/>
                <w:lang w:eastAsia="ja-JP"/>
              </w:rPr>
              <w:t>Who qualifies?</w:t>
            </w:r>
          </w:p>
          <w:p w14:paraId="4E6CD592" w14:textId="77777777" w:rsidR="00E7521D" w:rsidRDefault="00157C88" w:rsidP="00160B98">
            <w:pPr>
              <w:spacing w:before="0" w:after="120" w:line="240" w:lineRule="auto"/>
              <w:ind w:right="130"/>
              <w:rPr>
                <w:rFonts w:ascii="Book Antiqua" w:eastAsia="Book Antiqua" w:hAnsi="Book Antiqua" w:cs="Times New Roman"/>
                <w:color w:val="4D4436"/>
                <w:sz w:val="22"/>
                <w:lang w:eastAsia="ja-JP"/>
              </w:rPr>
            </w:pPr>
            <w:r>
              <w:rPr>
                <w:rFonts w:ascii="Book Antiqua" w:eastAsia="Book Antiqua" w:hAnsi="Book Antiqua" w:cs="Times New Roman"/>
                <w:color w:val="4D4436"/>
                <w:sz w:val="22"/>
                <w:lang w:eastAsia="ja-JP"/>
              </w:rPr>
              <w:t xml:space="preserve">   Anyone with a disability could qualify for a Section 504 Plan, as long as the disability substantially limits a major life activity such as </w:t>
            </w:r>
            <w:r w:rsidRPr="00977A3E">
              <w:rPr>
                <w:rFonts w:ascii="Book Antiqua" w:eastAsia="Book Antiqua" w:hAnsi="Book Antiqua" w:cs="Times New Roman"/>
                <w:color w:val="4D4436"/>
                <w:sz w:val="22"/>
                <w:lang w:eastAsia="ja-JP"/>
              </w:rPr>
              <w:t xml:space="preserve">caring for </w:t>
            </w:r>
            <w:r w:rsidR="00850E9C" w:rsidRPr="00977A3E">
              <w:rPr>
                <w:rFonts w:ascii="Book Antiqua" w:eastAsia="Book Antiqua" w:hAnsi="Book Antiqua" w:cs="Times New Roman"/>
                <w:color w:val="4D4436"/>
                <w:sz w:val="22"/>
                <w:lang w:eastAsia="ja-JP"/>
              </w:rPr>
              <w:t>oneself</w:t>
            </w:r>
            <w:r w:rsidRPr="00977A3E">
              <w:rPr>
                <w:rFonts w:ascii="Book Antiqua" w:eastAsia="Book Antiqua" w:hAnsi="Book Antiqua" w:cs="Times New Roman"/>
                <w:color w:val="4D4436"/>
                <w:sz w:val="22"/>
                <w:lang w:eastAsia="ja-JP"/>
              </w:rPr>
              <w:t>, performing manual tasks, walking, seeing, hearing, speaking, breathing, working, and learning.</w:t>
            </w:r>
          </w:p>
          <w:p w14:paraId="387FC3AA" w14:textId="1F88344E" w:rsidR="00EA331D" w:rsidRPr="00157C88" w:rsidRDefault="00EA331D" w:rsidP="00160B98">
            <w:pPr>
              <w:spacing w:before="0" w:after="120" w:line="240" w:lineRule="auto"/>
              <w:ind w:right="130"/>
              <w:rPr>
                <w:rFonts w:ascii="Book Antiqua" w:eastAsia="Book Antiqua" w:hAnsi="Book Antiqua" w:cs="Times New Roman"/>
                <w:color w:val="4D4436"/>
                <w:sz w:val="22"/>
                <w:lang w:eastAsia="ja-JP"/>
              </w:rPr>
            </w:pPr>
            <w:r>
              <w:rPr>
                <w:rFonts w:ascii="Book Antiqua" w:eastAsia="SimSun" w:hAnsi="Book Antiqua" w:cs="Calibri"/>
                <w:color w:val="4D4436"/>
                <w:sz w:val="22"/>
                <w:lang w:eastAsia="zh-CN"/>
              </w:rPr>
              <w:t xml:space="preserve">  </w:t>
            </w:r>
            <w:r>
              <w:rPr>
                <w:rFonts w:ascii="Book Antiqua" w:eastAsia="SimSun" w:hAnsi="Book Antiqua" w:cs="Calibri"/>
                <w:color w:val="4D4436"/>
                <w:sz w:val="22"/>
                <w:lang w:eastAsia="zh-CN"/>
              </w:rPr>
              <w:t>E</w:t>
            </w:r>
            <w:r w:rsidRPr="002C4947">
              <w:rPr>
                <w:rFonts w:ascii="Book Antiqua" w:eastAsia="SimSun" w:hAnsi="Book Antiqua" w:cs="Calibri"/>
                <w:color w:val="4D4436"/>
                <w:sz w:val="22"/>
                <w:lang w:eastAsia="zh-CN"/>
              </w:rPr>
              <w:t>ligibility under 504 is broader than under Special Education. Even if a child doesn’t qualify for special education services, they may still qualify to receive related services, testing accommodations, or program modifications via a 504 Plan.</w:t>
            </w:r>
          </w:p>
        </w:tc>
        <w:tc>
          <w:tcPr>
            <w:tcW w:w="3873" w:type="dxa"/>
            <w:gridSpan w:val="2"/>
            <w:vMerge w:val="restart"/>
            <w:shd w:val="clear" w:color="auto" w:fill="auto"/>
          </w:tcPr>
          <w:p w14:paraId="5C282F37" w14:textId="4A66EA21" w:rsidR="00B67E03" w:rsidRPr="005F3A40" w:rsidRDefault="00B67E03" w:rsidP="00750858">
            <w:pPr>
              <w:spacing w:before="0" w:after="0" w:line="240" w:lineRule="auto"/>
              <w:ind w:left="360"/>
              <w:rPr>
                <w:rFonts w:ascii="Book Antiqua" w:eastAsia="Book Antiqua" w:hAnsi="Book Antiqua" w:cs="Times New Roman"/>
                <w:b/>
                <w:color w:val="4D4436"/>
                <w:sz w:val="20"/>
                <w:szCs w:val="22"/>
                <w:lang w:eastAsia="ja-JP"/>
              </w:rPr>
            </w:pPr>
            <w:r>
              <w:rPr>
                <w:rFonts w:ascii="Book Antiqua" w:eastAsia="Book Antiqua" w:hAnsi="Book Antiqua" w:cs="Times New Roman"/>
                <w:b/>
                <w:color w:val="125E36"/>
                <w:sz w:val="28"/>
                <w:szCs w:val="32"/>
                <w:lang w:eastAsia="ja-JP"/>
              </w:rPr>
              <w:t xml:space="preserve">504 </w:t>
            </w:r>
            <w:r w:rsidR="005606C0">
              <w:rPr>
                <w:rFonts w:ascii="Book Antiqua" w:eastAsia="Book Antiqua" w:hAnsi="Book Antiqua" w:cs="Times New Roman"/>
                <w:b/>
                <w:color w:val="125E36"/>
                <w:sz w:val="28"/>
                <w:szCs w:val="32"/>
                <w:lang w:eastAsia="ja-JP"/>
              </w:rPr>
              <w:t>P</w:t>
            </w:r>
            <w:r>
              <w:rPr>
                <w:rFonts w:ascii="Book Antiqua" w:eastAsia="Book Antiqua" w:hAnsi="Book Antiqua" w:cs="Times New Roman"/>
                <w:b/>
                <w:color w:val="125E36"/>
                <w:sz w:val="28"/>
                <w:szCs w:val="32"/>
                <w:lang w:eastAsia="ja-JP"/>
              </w:rPr>
              <w:t xml:space="preserve">lan </w:t>
            </w:r>
            <w:r w:rsidR="005606C0">
              <w:rPr>
                <w:rFonts w:ascii="Book Antiqua" w:eastAsia="Book Antiqua" w:hAnsi="Book Antiqua" w:cs="Times New Roman"/>
                <w:b/>
                <w:color w:val="125E36"/>
                <w:sz w:val="28"/>
                <w:szCs w:val="32"/>
                <w:lang w:eastAsia="ja-JP"/>
              </w:rPr>
              <w:t>vs.</w:t>
            </w:r>
            <w:r>
              <w:rPr>
                <w:rFonts w:ascii="Book Antiqua" w:eastAsia="Book Antiqua" w:hAnsi="Book Antiqua" w:cs="Times New Roman"/>
                <w:b/>
                <w:color w:val="125E36"/>
                <w:sz w:val="28"/>
                <w:szCs w:val="32"/>
                <w:lang w:eastAsia="ja-JP"/>
              </w:rPr>
              <w:t xml:space="preserve"> IEP</w:t>
            </w:r>
            <w:r w:rsidR="005606C0">
              <w:rPr>
                <w:rFonts w:ascii="Book Antiqua" w:eastAsia="Book Antiqua" w:hAnsi="Book Antiqua" w:cs="Times New Roman"/>
                <w:b/>
                <w:color w:val="125E36"/>
                <w:sz w:val="28"/>
                <w:szCs w:val="32"/>
                <w:lang w:eastAsia="ja-JP"/>
              </w:rPr>
              <w:t>:</w:t>
            </w:r>
          </w:p>
          <w:p w14:paraId="6B456565" w14:textId="77777777" w:rsidR="001B3E23" w:rsidRPr="001B3E23" w:rsidRDefault="005606C0" w:rsidP="001B3E23">
            <w:pPr>
              <w:spacing w:before="80" w:after="0" w:line="240" w:lineRule="auto"/>
              <w:ind w:left="36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b/>
                <w:bCs/>
                <w:color w:val="125E36"/>
                <w:sz w:val="24"/>
                <w:szCs w:val="28"/>
                <w:u w:val="single"/>
                <w:lang w:eastAsia="ja-JP"/>
              </w:rPr>
              <w:t>SAME</w:t>
            </w:r>
            <w:r w:rsidRPr="001B3E23">
              <w:rPr>
                <w:rFonts w:ascii="Book Antiqua" w:eastAsia="Book Antiqua" w:hAnsi="Book Antiqua" w:cs="Times New Roman"/>
                <w:b/>
                <w:bCs/>
                <w:color w:val="125E36"/>
                <w:sz w:val="24"/>
                <w:szCs w:val="28"/>
                <w:lang w:eastAsia="ja-JP"/>
              </w:rPr>
              <w:t>-</w:t>
            </w:r>
          </w:p>
          <w:p w14:paraId="4214B424" w14:textId="77777777" w:rsidR="001B3E23" w:rsidRPr="001B3E23" w:rsidRDefault="00004131" w:rsidP="001B3E23">
            <w:pPr>
              <w:pStyle w:val="ListParagraph"/>
              <w:numPr>
                <w:ilvl w:val="0"/>
                <w:numId w:val="6"/>
              </w:numPr>
              <w:spacing w:before="8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 xml:space="preserve">Both can include related services, including counseling, occupational therapy, physical therapy, and/or speech and language therapy. </w:t>
            </w:r>
          </w:p>
          <w:p w14:paraId="7A0D7552" w14:textId="77777777" w:rsidR="001B3E23" w:rsidRPr="001B3E23" w:rsidRDefault="00004131" w:rsidP="001B3E23">
            <w:pPr>
              <w:pStyle w:val="ListParagraph"/>
              <w:numPr>
                <w:ilvl w:val="0"/>
                <w:numId w:val="6"/>
              </w:numPr>
              <w:spacing w:before="8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 xml:space="preserve">Both can include program modifications and testing modifications as well. </w:t>
            </w:r>
          </w:p>
          <w:p w14:paraId="0FBC4A63" w14:textId="77777777" w:rsidR="001B3E23" w:rsidRPr="001B3E23" w:rsidRDefault="00004131" w:rsidP="001B3E23">
            <w:pPr>
              <w:pStyle w:val="ListParagraph"/>
              <w:numPr>
                <w:ilvl w:val="0"/>
                <w:numId w:val="6"/>
              </w:numPr>
              <w:spacing w:before="8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You will still be invited to a meeting on a yearly basis to talk about how your child is doing and plan for the following year.</w:t>
            </w:r>
          </w:p>
          <w:p w14:paraId="53C17F30" w14:textId="7C4F7805" w:rsidR="00065F52" w:rsidRPr="001B3E23" w:rsidRDefault="00004131" w:rsidP="001B3E23">
            <w:pPr>
              <w:pStyle w:val="ListParagraph"/>
              <w:numPr>
                <w:ilvl w:val="0"/>
                <w:numId w:val="6"/>
              </w:numPr>
              <w:spacing w:before="8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Your child will still be reevaluated periodically to make sure they are making adequate progress.</w:t>
            </w:r>
          </w:p>
          <w:p w14:paraId="3E7A6C12" w14:textId="77777777" w:rsidR="001B3E23" w:rsidRPr="001B3E23" w:rsidRDefault="00004131" w:rsidP="001B3E23">
            <w:pPr>
              <w:spacing w:before="240" w:after="0" w:line="240" w:lineRule="auto"/>
              <w:ind w:left="45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b/>
                <w:bCs/>
                <w:color w:val="125E36"/>
                <w:sz w:val="24"/>
                <w:szCs w:val="28"/>
                <w:u w:val="single"/>
                <w:lang w:eastAsia="ja-JP"/>
              </w:rPr>
              <w:t>DIFFERENT</w:t>
            </w:r>
            <w:r w:rsidRPr="001B3E23">
              <w:rPr>
                <w:rFonts w:ascii="Book Antiqua" w:eastAsia="Book Antiqua" w:hAnsi="Book Antiqua" w:cs="Times New Roman"/>
                <w:b/>
                <w:bCs/>
                <w:color w:val="125E36"/>
                <w:sz w:val="24"/>
                <w:szCs w:val="28"/>
                <w:lang w:eastAsia="ja-JP"/>
              </w:rPr>
              <w:t>-</w:t>
            </w:r>
          </w:p>
          <w:p w14:paraId="000003FF" w14:textId="77777777" w:rsidR="001B3E23" w:rsidRPr="001B3E23" w:rsidRDefault="00BD6A05" w:rsidP="001B3E23">
            <w:pPr>
              <w:pStyle w:val="ListParagraph"/>
              <w:numPr>
                <w:ilvl w:val="0"/>
                <w:numId w:val="6"/>
              </w:numPr>
              <w:spacing w:before="8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 xml:space="preserve">While the 504 Plan focuses on how a student is learning, an IEP also </w:t>
            </w:r>
            <w:r w:rsidRPr="001B3E23">
              <w:rPr>
                <w:rFonts w:ascii="Book Antiqua" w:eastAsia="Book Antiqua" w:hAnsi="Book Antiqua" w:cs="Times New Roman"/>
                <w:color w:val="4D4436"/>
                <w:sz w:val="22"/>
                <w:lang w:eastAsia="ja-JP"/>
              </w:rPr>
              <w:t>describes</w:t>
            </w:r>
            <w:r w:rsidRPr="001B3E23">
              <w:rPr>
                <w:rFonts w:ascii="Book Antiqua" w:eastAsia="Book Antiqua" w:hAnsi="Book Antiqua" w:cs="Times New Roman"/>
                <w:color w:val="4D4436"/>
                <w:sz w:val="22"/>
                <w:lang w:eastAsia="ja-JP"/>
              </w:rPr>
              <w:t xml:space="preserve"> </w:t>
            </w:r>
            <w:r w:rsidRPr="001B3E23">
              <w:rPr>
                <w:rFonts w:ascii="Book Antiqua" w:eastAsia="Book Antiqua" w:hAnsi="Book Antiqua" w:cs="Times New Roman"/>
                <w:i/>
                <w:iCs/>
                <w:color w:val="4D4436"/>
                <w:sz w:val="22"/>
                <w:lang w:eastAsia="ja-JP"/>
              </w:rPr>
              <w:t>what</w:t>
            </w:r>
            <w:r w:rsidRPr="001B3E23">
              <w:rPr>
                <w:rFonts w:ascii="Book Antiqua" w:eastAsia="Book Antiqua" w:hAnsi="Book Antiqua" w:cs="Times New Roman"/>
                <w:color w:val="4D4436"/>
                <w:sz w:val="22"/>
                <w:lang w:eastAsia="ja-JP"/>
              </w:rPr>
              <w:t xml:space="preserve"> a student is learning</w:t>
            </w:r>
            <w:r w:rsidRPr="001B3E23">
              <w:rPr>
                <w:rFonts w:ascii="Book Antiqua" w:eastAsia="Book Antiqua" w:hAnsi="Book Antiqua" w:cs="Times New Roman"/>
                <w:color w:val="4D4436"/>
                <w:sz w:val="22"/>
                <w:lang w:eastAsia="ja-JP"/>
              </w:rPr>
              <w:t xml:space="preserve">. </w:t>
            </w:r>
          </w:p>
          <w:p w14:paraId="5B2819CF" w14:textId="77777777" w:rsidR="001B3E23" w:rsidRPr="001B3E23" w:rsidRDefault="002E5223" w:rsidP="001B3E23">
            <w:pPr>
              <w:pStyle w:val="ListParagraph"/>
              <w:numPr>
                <w:ilvl w:val="0"/>
                <w:numId w:val="6"/>
              </w:numPr>
              <w:spacing w:before="24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Therefore, an</w:t>
            </w:r>
            <w:r w:rsidR="00941763" w:rsidRPr="001B3E23">
              <w:rPr>
                <w:rFonts w:ascii="Book Antiqua" w:eastAsia="Book Antiqua" w:hAnsi="Book Antiqua" w:cs="Times New Roman"/>
                <w:color w:val="4D4436"/>
                <w:sz w:val="22"/>
                <w:lang w:eastAsia="ja-JP"/>
              </w:rPr>
              <w:t xml:space="preserve"> IEP provides special education instruction, while a 504 Plan would not. </w:t>
            </w:r>
          </w:p>
          <w:p w14:paraId="4D304A77" w14:textId="6781019F" w:rsidR="005606C0" w:rsidRPr="001B3E23" w:rsidRDefault="00941763" w:rsidP="001B3E23">
            <w:pPr>
              <w:pStyle w:val="ListParagraph"/>
              <w:numPr>
                <w:ilvl w:val="0"/>
                <w:numId w:val="6"/>
              </w:numPr>
              <w:spacing w:before="240" w:after="0" w:line="240" w:lineRule="auto"/>
              <w:ind w:left="630" w:hanging="180"/>
              <w:rPr>
                <w:rFonts w:ascii="Book Antiqua" w:eastAsia="Book Antiqua" w:hAnsi="Book Antiqua" w:cs="Times New Roman"/>
                <w:b/>
                <w:bCs/>
                <w:color w:val="125E36"/>
                <w:sz w:val="24"/>
                <w:szCs w:val="28"/>
                <w:lang w:eastAsia="ja-JP"/>
              </w:rPr>
            </w:pPr>
            <w:r w:rsidRPr="001B3E23">
              <w:rPr>
                <w:rFonts w:ascii="Book Antiqua" w:eastAsia="Book Antiqua" w:hAnsi="Book Antiqua" w:cs="Times New Roman"/>
                <w:color w:val="4D4436"/>
                <w:sz w:val="22"/>
                <w:lang w:eastAsia="ja-JP"/>
              </w:rPr>
              <w:t xml:space="preserve">An IEP </w:t>
            </w:r>
            <w:r w:rsidR="00476FEE" w:rsidRPr="001B3E23">
              <w:rPr>
                <w:rFonts w:ascii="Book Antiqua" w:eastAsia="Book Antiqua" w:hAnsi="Book Antiqua" w:cs="Times New Roman"/>
                <w:color w:val="4D4436"/>
                <w:sz w:val="22"/>
                <w:lang w:eastAsia="ja-JP"/>
              </w:rPr>
              <w:t>outlines specific</w:t>
            </w:r>
            <w:r w:rsidRPr="001B3E23">
              <w:rPr>
                <w:rFonts w:ascii="Book Antiqua" w:eastAsia="Book Antiqua" w:hAnsi="Book Antiqua" w:cs="Times New Roman"/>
                <w:color w:val="4D4436"/>
                <w:sz w:val="22"/>
                <w:lang w:eastAsia="ja-JP"/>
              </w:rPr>
              <w:t xml:space="preserve"> goals and provides support for the student </w:t>
            </w:r>
            <w:r w:rsidR="00BD6A05" w:rsidRPr="001B3E23">
              <w:rPr>
                <w:rFonts w:ascii="Book Antiqua" w:eastAsia="Book Antiqua" w:hAnsi="Book Antiqua" w:cs="Times New Roman"/>
                <w:color w:val="4D4436"/>
                <w:sz w:val="22"/>
                <w:lang w:eastAsia="ja-JP"/>
              </w:rPr>
              <w:t>to</w:t>
            </w:r>
            <w:r w:rsidRPr="001B3E23">
              <w:rPr>
                <w:rFonts w:ascii="Book Antiqua" w:eastAsia="Book Antiqua" w:hAnsi="Book Antiqua" w:cs="Times New Roman"/>
                <w:color w:val="4D4436"/>
                <w:sz w:val="22"/>
                <w:lang w:eastAsia="ja-JP"/>
              </w:rPr>
              <w:t xml:space="preserve"> meet those learning targets. </w:t>
            </w:r>
          </w:p>
          <w:p w14:paraId="54BD2059" w14:textId="4D4D59B9" w:rsidR="00F568CE" w:rsidRPr="001C1A2B" w:rsidRDefault="00F568CE" w:rsidP="001C1A2B">
            <w:pPr>
              <w:spacing w:before="0" w:after="40" w:line="240" w:lineRule="auto"/>
              <w:rPr>
                <w:rFonts w:ascii="Book Antiqua" w:eastAsia="Book Antiqua" w:hAnsi="Book Antiqua" w:cs="Times New Roman"/>
                <w:color w:val="4D4436"/>
                <w:sz w:val="18"/>
                <w:szCs w:val="20"/>
                <w:lang w:eastAsia="ja-JP"/>
              </w:rPr>
            </w:pPr>
          </w:p>
        </w:tc>
      </w:tr>
      <w:tr w:rsidR="003A2CEB" w:rsidRPr="00C50D7D" w14:paraId="755E7D82" w14:textId="77777777" w:rsidTr="00685310">
        <w:trPr>
          <w:trHeight w:val="2538"/>
          <w:jc w:val="center"/>
        </w:trPr>
        <w:tc>
          <w:tcPr>
            <w:tcW w:w="6296" w:type="dxa"/>
          </w:tcPr>
          <w:p w14:paraId="5BD76716" w14:textId="77777777" w:rsidR="00157C88" w:rsidRPr="00C50D7D" w:rsidRDefault="00157C88" w:rsidP="00160B98">
            <w:pPr>
              <w:spacing w:before="120" w:after="0" w:line="240" w:lineRule="auto"/>
              <w:ind w:right="130"/>
              <w:rPr>
                <w:rFonts w:ascii="Book Antiqua" w:eastAsia="Book Antiqua" w:hAnsi="Book Antiqua" w:cs="Times New Roman"/>
                <w:b/>
                <w:color w:val="125E36"/>
                <w:sz w:val="28"/>
                <w:szCs w:val="28"/>
              </w:rPr>
            </w:pPr>
            <w:r>
              <w:rPr>
                <w:rFonts w:ascii="Book Antiqua" w:eastAsia="Book Antiqua" w:hAnsi="Book Antiqua" w:cs="Times New Roman"/>
                <w:b/>
                <w:color w:val="125E36"/>
                <w:sz w:val="28"/>
                <w:szCs w:val="28"/>
              </w:rPr>
              <w:t>What is a Section 504 Plan</w:t>
            </w:r>
            <w:r w:rsidRPr="00C50D7D">
              <w:rPr>
                <w:rFonts w:ascii="Book Antiqua" w:eastAsia="Book Antiqua" w:hAnsi="Book Antiqua" w:cs="Times New Roman"/>
                <w:b/>
                <w:color w:val="125E36"/>
                <w:sz w:val="28"/>
                <w:szCs w:val="28"/>
              </w:rPr>
              <w:t>?</w:t>
            </w:r>
          </w:p>
          <w:p w14:paraId="719A9B52" w14:textId="77777777" w:rsidR="00157C88" w:rsidRDefault="00157C88" w:rsidP="00160B98">
            <w:pPr>
              <w:spacing w:before="0" w:after="80" w:line="240" w:lineRule="auto"/>
              <w:ind w:right="130"/>
              <w:rPr>
                <w:rFonts w:ascii="Book Antiqua" w:eastAsia="SimSun" w:hAnsi="Book Antiqua" w:cs="Calibri"/>
                <w:color w:val="4D4436"/>
                <w:sz w:val="22"/>
                <w:szCs w:val="28"/>
                <w:lang w:eastAsia="zh-CN"/>
              </w:rPr>
            </w:pPr>
            <w:r>
              <w:rPr>
                <w:rFonts w:ascii="Book Antiqua" w:eastAsia="SimSun" w:hAnsi="Book Antiqua" w:cs="Calibri"/>
                <w:color w:val="4D4436"/>
                <w:sz w:val="22"/>
                <w:szCs w:val="28"/>
                <w:lang w:eastAsia="zh-CN"/>
              </w:rPr>
              <w:t xml:space="preserve">  </w:t>
            </w:r>
            <w:r w:rsidRPr="004B3EB2">
              <w:rPr>
                <w:rFonts w:ascii="Book Antiqua" w:eastAsia="SimSun" w:hAnsi="Book Antiqua" w:cs="Calibri"/>
                <w:color w:val="4D4436"/>
                <w:sz w:val="22"/>
                <w:szCs w:val="28"/>
                <w:lang w:eastAsia="zh-CN"/>
              </w:rPr>
              <w:t xml:space="preserve">A Section 504 Plan is a written document that outlines what services, modifications, or accommodations a student with a disability requires to have educational opportunities equal to those provided nondisabled students. </w:t>
            </w:r>
          </w:p>
          <w:p w14:paraId="33167DFE" w14:textId="53457AF2" w:rsidR="003A2CEB" w:rsidRPr="00C50D7D" w:rsidRDefault="00157C88" w:rsidP="00160B98">
            <w:pPr>
              <w:spacing w:before="0" w:after="80" w:line="240" w:lineRule="auto"/>
              <w:ind w:right="130"/>
              <w:rPr>
                <w:rFonts w:ascii="Book Antiqua" w:hAnsi="Book Antiqua"/>
              </w:rPr>
            </w:pPr>
            <w:r>
              <w:rPr>
                <w:rFonts w:ascii="Book Antiqua" w:eastAsia="SimSun" w:hAnsi="Book Antiqua" w:cs="Calibri"/>
                <w:color w:val="4D4436"/>
                <w:sz w:val="22"/>
                <w:szCs w:val="28"/>
                <w:lang w:eastAsia="zh-CN"/>
              </w:rPr>
              <w:t xml:space="preserve">  </w:t>
            </w:r>
            <w:r w:rsidRPr="004B3EB2">
              <w:rPr>
                <w:rFonts w:ascii="Book Antiqua" w:eastAsia="SimSun" w:hAnsi="Book Antiqua" w:cs="Calibri"/>
                <w:color w:val="4D4436"/>
                <w:sz w:val="22"/>
                <w:szCs w:val="28"/>
                <w:lang w:eastAsia="zh-CN"/>
              </w:rPr>
              <w:t>The plan must include “reasonable accommodations, supports, and auxiliary aides” to allow the child to participate in the general curriculum.</w:t>
            </w:r>
          </w:p>
        </w:tc>
        <w:tc>
          <w:tcPr>
            <w:tcW w:w="3873" w:type="dxa"/>
            <w:gridSpan w:val="2"/>
            <w:vMerge/>
            <w:shd w:val="clear" w:color="auto" w:fill="auto"/>
          </w:tcPr>
          <w:p w14:paraId="02FE6B14" w14:textId="1B4CB64F" w:rsidR="003A2CEB" w:rsidRPr="00C50D7D" w:rsidRDefault="003A2CEB" w:rsidP="00160B98">
            <w:pPr>
              <w:pStyle w:val="TOC2"/>
            </w:pPr>
          </w:p>
        </w:tc>
      </w:tr>
      <w:tr w:rsidR="003A2CEB" w:rsidRPr="00C50D7D" w14:paraId="098450B8" w14:textId="77777777" w:rsidTr="00685310">
        <w:trPr>
          <w:trHeight w:val="729"/>
          <w:jc w:val="center"/>
        </w:trPr>
        <w:tc>
          <w:tcPr>
            <w:tcW w:w="6296" w:type="dxa"/>
          </w:tcPr>
          <w:p w14:paraId="185979DD" w14:textId="77777777" w:rsidR="00157C88" w:rsidRPr="00EA331D" w:rsidRDefault="00157C88" w:rsidP="00160B98">
            <w:pPr>
              <w:keepNext/>
              <w:keepLines/>
              <w:spacing w:before="120" w:after="0" w:line="240" w:lineRule="auto"/>
              <w:ind w:right="130"/>
              <w:outlineLvl w:val="1"/>
              <w:rPr>
                <w:rFonts w:ascii="Book Antiqua" w:eastAsia="Times New Roman" w:hAnsi="Book Antiqua" w:cs="Times New Roman"/>
                <w:b/>
                <w:bCs/>
                <w:color w:val="125E36"/>
                <w:sz w:val="28"/>
                <w:szCs w:val="28"/>
                <w:lang w:eastAsia="ja-JP"/>
              </w:rPr>
            </w:pPr>
            <w:r w:rsidRPr="00EA331D">
              <w:rPr>
                <w:rFonts w:ascii="Book Antiqua" w:eastAsia="Times New Roman" w:hAnsi="Book Antiqua" w:cs="Times New Roman"/>
                <w:b/>
                <w:bCs/>
                <w:color w:val="125E36"/>
                <w:sz w:val="28"/>
                <w:szCs w:val="28"/>
                <w:lang w:eastAsia="ja-JP"/>
              </w:rPr>
              <w:t>What can go on a 504 Plan?</w:t>
            </w:r>
          </w:p>
          <w:p w14:paraId="3BA4D107" w14:textId="77777777" w:rsidR="00157C88" w:rsidRDefault="00157C88" w:rsidP="00AA5765">
            <w:pPr>
              <w:pStyle w:val="ListParagraph"/>
              <w:spacing w:before="0" w:after="80" w:line="240" w:lineRule="auto"/>
              <w:ind w:left="0" w:right="130"/>
              <w:rPr>
                <w:rFonts w:ascii="Book Antiqua" w:eastAsia="Book Antiqua" w:hAnsi="Book Antiqua" w:cs="Times New Roman"/>
                <w:color w:val="4D4436"/>
                <w:sz w:val="22"/>
                <w:lang w:eastAsia="ja-JP"/>
              </w:rPr>
            </w:pPr>
            <w:r w:rsidRPr="00BD39F2">
              <w:rPr>
                <w:rFonts w:ascii="Book Antiqua" w:eastAsia="Book Antiqua" w:hAnsi="Book Antiqua" w:cs="Times New Roman"/>
                <w:color w:val="4D4436"/>
                <w:sz w:val="22"/>
                <w:lang w:eastAsia="ja-JP"/>
              </w:rPr>
              <w:t xml:space="preserve">   </w:t>
            </w:r>
            <w:r w:rsidRPr="004358B5">
              <w:rPr>
                <w:rFonts w:ascii="Book Antiqua" w:eastAsia="Book Antiqua" w:hAnsi="Book Antiqua" w:cs="Times New Roman"/>
                <w:color w:val="4D4436"/>
                <w:sz w:val="22"/>
                <w:lang w:eastAsia="ja-JP"/>
              </w:rPr>
              <w:t xml:space="preserve">There is no restriction to what types of supports can legally be put into a 504 plan. However, if a child needs </w:t>
            </w:r>
            <w:r w:rsidRPr="003F2F9D">
              <w:rPr>
                <w:rFonts w:ascii="Book Antiqua" w:eastAsia="Book Antiqua" w:hAnsi="Book Antiqua" w:cs="Times New Roman"/>
                <w:i/>
                <w:iCs/>
                <w:color w:val="4D4436"/>
                <w:sz w:val="22"/>
                <w:lang w:eastAsia="ja-JP"/>
              </w:rPr>
              <w:t>special education</w:t>
            </w:r>
            <w:r w:rsidRPr="004358B5">
              <w:rPr>
                <w:rFonts w:ascii="Book Antiqua" w:eastAsia="Book Antiqua" w:hAnsi="Book Antiqua" w:cs="Times New Roman"/>
                <w:color w:val="4D4436"/>
                <w:sz w:val="22"/>
                <w:lang w:eastAsia="ja-JP"/>
              </w:rPr>
              <w:t xml:space="preserve"> supports, the child should have an Individualized Education Plan (IEP) rather than a 504 Plan. </w:t>
            </w:r>
          </w:p>
          <w:p w14:paraId="74E5B7D4" w14:textId="3CF3C6CB" w:rsidR="003A2CEB" w:rsidRPr="001E7046" w:rsidRDefault="00157C88" w:rsidP="00160B98">
            <w:pPr>
              <w:spacing w:before="0" w:after="80" w:line="240" w:lineRule="auto"/>
              <w:ind w:right="130"/>
              <w:rPr>
                <w:rFonts w:ascii="Book Antiqua" w:eastAsia="Book Antiqua" w:hAnsi="Book Antiqua" w:cs="Times New Roman"/>
                <w:color w:val="4D4436"/>
                <w:sz w:val="22"/>
                <w:szCs w:val="22"/>
                <w:lang w:eastAsia="ja-JP"/>
              </w:rPr>
            </w:pPr>
            <w:r>
              <w:rPr>
                <w:rFonts w:ascii="Book Antiqua" w:eastAsia="Book Antiqua" w:hAnsi="Book Antiqua" w:cs="Times New Roman"/>
                <w:color w:val="4D4436"/>
                <w:sz w:val="22"/>
                <w:lang w:eastAsia="ja-JP"/>
              </w:rPr>
              <w:t xml:space="preserve">  </w:t>
            </w:r>
            <w:r w:rsidRPr="004358B5">
              <w:rPr>
                <w:rFonts w:ascii="Book Antiqua" w:eastAsia="Book Antiqua" w:hAnsi="Book Antiqua" w:cs="Times New Roman"/>
                <w:color w:val="4D4436"/>
                <w:sz w:val="22"/>
                <w:lang w:eastAsia="ja-JP"/>
              </w:rPr>
              <w:t>Some of the supports that typically appear on 504 Plans include related service therapies (such as speech therapy or occupational therapy), program modifications (such as preferential seating, repeating directions, etc.), testing accommodations (such as extended time, being allowed to take breaks, etc.), or assistive technology (such as a calculator, tape recorder, spell check device, etc.).</w:t>
            </w:r>
          </w:p>
        </w:tc>
        <w:tc>
          <w:tcPr>
            <w:tcW w:w="3873" w:type="dxa"/>
            <w:gridSpan w:val="2"/>
            <w:vMerge/>
            <w:shd w:val="clear" w:color="auto" w:fill="auto"/>
          </w:tcPr>
          <w:p w14:paraId="2BCA434B" w14:textId="77777777" w:rsidR="003A2CEB" w:rsidRPr="00C50D7D" w:rsidRDefault="003A2CEB" w:rsidP="00160B98">
            <w:pPr>
              <w:pStyle w:val="TOC2"/>
            </w:pPr>
          </w:p>
        </w:tc>
      </w:tr>
    </w:tbl>
    <w:p w14:paraId="5C8D9ED8" w14:textId="7305509E" w:rsidR="00B92A97" w:rsidRDefault="00B92A97"/>
    <w:sectPr w:rsidR="00B92A97" w:rsidSect="00685310">
      <w:pgSz w:w="12240" w:h="15840"/>
      <w:pgMar w:top="117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DB"/>
    <w:multiLevelType w:val="hybridMultilevel"/>
    <w:tmpl w:val="EEB64D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3BC1267"/>
    <w:multiLevelType w:val="hybridMultilevel"/>
    <w:tmpl w:val="3C3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E2225"/>
    <w:multiLevelType w:val="hybridMultilevel"/>
    <w:tmpl w:val="13BEC2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B686D63"/>
    <w:multiLevelType w:val="hybridMultilevel"/>
    <w:tmpl w:val="6D304B76"/>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 w15:restartNumberingAfterBreak="0">
    <w:nsid w:val="3C250C9D"/>
    <w:multiLevelType w:val="hybridMultilevel"/>
    <w:tmpl w:val="36D4C4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63CD713B"/>
    <w:multiLevelType w:val="hybridMultilevel"/>
    <w:tmpl w:val="88FA6A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19147216">
    <w:abstractNumId w:val="4"/>
  </w:num>
  <w:num w:numId="2" w16cid:durableId="1368993155">
    <w:abstractNumId w:val="3"/>
  </w:num>
  <w:num w:numId="3" w16cid:durableId="748767606">
    <w:abstractNumId w:val="0"/>
  </w:num>
  <w:num w:numId="4" w16cid:durableId="92551309">
    <w:abstractNumId w:val="2"/>
  </w:num>
  <w:num w:numId="5" w16cid:durableId="511116188">
    <w:abstractNumId w:val="1"/>
  </w:num>
  <w:num w:numId="6" w16cid:durableId="449131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40"/>
    <w:rsid w:val="00004131"/>
    <w:rsid w:val="00011643"/>
    <w:rsid w:val="00015835"/>
    <w:rsid w:val="00046045"/>
    <w:rsid w:val="00051DD4"/>
    <w:rsid w:val="00065F52"/>
    <w:rsid w:val="00094737"/>
    <w:rsid w:val="00094AA7"/>
    <w:rsid w:val="000C01F5"/>
    <w:rsid w:val="000E1DCE"/>
    <w:rsid w:val="000E71D8"/>
    <w:rsid w:val="0010524D"/>
    <w:rsid w:val="00122A5D"/>
    <w:rsid w:val="00157C88"/>
    <w:rsid w:val="00160B98"/>
    <w:rsid w:val="00160CBB"/>
    <w:rsid w:val="00180E32"/>
    <w:rsid w:val="001829D9"/>
    <w:rsid w:val="00184794"/>
    <w:rsid w:val="00192101"/>
    <w:rsid w:val="00193608"/>
    <w:rsid w:val="001B3E23"/>
    <w:rsid w:val="001C0506"/>
    <w:rsid w:val="001C1A2B"/>
    <w:rsid w:val="001D3E3C"/>
    <w:rsid w:val="001E7046"/>
    <w:rsid w:val="002251DF"/>
    <w:rsid w:val="0022568F"/>
    <w:rsid w:val="00281B2F"/>
    <w:rsid w:val="002C4947"/>
    <w:rsid w:val="002D07CE"/>
    <w:rsid w:val="002E5223"/>
    <w:rsid w:val="00315070"/>
    <w:rsid w:val="00340E54"/>
    <w:rsid w:val="00365E61"/>
    <w:rsid w:val="0037315F"/>
    <w:rsid w:val="00377120"/>
    <w:rsid w:val="003A2CEB"/>
    <w:rsid w:val="003B2661"/>
    <w:rsid w:val="003C62DE"/>
    <w:rsid w:val="003D06A1"/>
    <w:rsid w:val="003E3DDB"/>
    <w:rsid w:val="003F14D2"/>
    <w:rsid w:val="003F2F9D"/>
    <w:rsid w:val="004358B5"/>
    <w:rsid w:val="004614AB"/>
    <w:rsid w:val="00466106"/>
    <w:rsid w:val="00474C39"/>
    <w:rsid w:val="00476FEE"/>
    <w:rsid w:val="0048275F"/>
    <w:rsid w:val="004837EE"/>
    <w:rsid w:val="0049057A"/>
    <w:rsid w:val="004A3991"/>
    <w:rsid w:val="004B3EB2"/>
    <w:rsid w:val="004D3A83"/>
    <w:rsid w:val="004E2119"/>
    <w:rsid w:val="00512305"/>
    <w:rsid w:val="00523877"/>
    <w:rsid w:val="0054147E"/>
    <w:rsid w:val="005606C0"/>
    <w:rsid w:val="00571D3A"/>
    <w:rsid w:val="00571E17"/>
    <w:rsid w:val="005B2D3E"/>
    <w:rsid w:val="005F3A40"/>
    <w:rsid w:val="005F3C85"/>
    <w:rsid w:val="005F60EE"/>
    <w:rsid w:val="0061091B"/>
    <w:rsid w:val="00623D69"/>
    <w:rsid w:val="00651426"/>
    <w:rsid w:val="00684990"/>
    <w:rsid w:val="00685310"/>
    <w:rsid w:val="006A0F56"/>
    <w:rsid w:val="006B36FF"/>
    <w:rsid w:val="006C5290"/>
    <w:rsid w:val="006D1025"/>
    <w:rsid w:val="006D13FE"/>
    <w:rsid w:val="006E7AB5"/>
    <w:rsid w:val="006F0D15"/>
    <w:rsid w:val="00704967"/>
    <w:rsid w:val="00741C91"/>
    <w:rsid w:val="00750858"/>
    <w:rsid w:val="00783140"/>
    <w:rsid w:val="0079349D"/>
    <w:rsid w:val="007A00B3"/>
    <w:rsid w:val="007F2D8B"/>
    <w:rsid w:val="00812AE5"/>
    <w:rsid w:val="00844946"/>
    <w:rsid w:val="0084734F"/>
    <w:rsid w:val="00850E9C"/>
    <w:rsid w:val="0086240E"/>
    <w:rsid w:val="00862BCC"/>
    <w:rsid w:val="0087599A"/>
    <w:rsid w:val="008A793C"/>
    <w:rsid w:val="00906DAA"/>
    <w:rsid w:val="0092457E"/>
    <w:rsid w:val="00935DE3"/>
    <w:rsid w:val="00941763"/>
    <w:rsid w:val="0095493C"/>
    <w:rsid w:val="00977A3E"/>
    <w:rsid w:val="009830ED"/>
    <w:rsid w:val="009C2AB2"/>
    <w:rsid w:val="009D50E1"/>
    <w:rsid w:val="009E0E16"/>
    <w:rsid w:val="00A21A75"/>
    <w:rsid w:val="00A33292"/>
    <w:rsid w:val="00A34C4E"/>
    <w:rsid w:val="00A56415"/>
    <w:rsid w:val="00A62D5C"/>
    <w:rsid w:val="00A72BA1"/>
    <w:rsid w:val="00A845C3"/>
    <w:rsid w:val="00A93633"/>
    <w:rsid w:val="00A9505E"/>
    <w:rsid w:val="00AA1D99"/>
    <w:rsid w:val="00AA32E8"/>
    <w:rsid w:val="00AA5765"/>
    <w:rsid w:val="00AB27C0"/>
    <w:rsid w:val="00AB6DAF"/>
    <w:rsid w:val="00AB7BC0"/>
    <w:rsid w:val="00AD1D4C"/>
    <w:rsid w:val="00AD2704"/>
    <w:rsid w:val="00B31005"/>
    <w:rsid w:val="00B5388E"/>
    <w:rsid w:val="00B545E7"/>
    <w:rsid w:val="00B67E03"/>
    <w:rsid w:val="00B92A97"/>
    <w:rsid w:val="00B92EE3"/>
    <w:rsid w:val="00BD39F2"/>
    <w:rsid w:val="00BD6A05"/>
    <w:rsid w:val="00C21FE9"/>
    <w:rsid w:val="00C50D7D"/>
    <w:rsid w:val="00C60426"/>
    <w:rsid w:val="00C95CD8"/>
    <w:rsid w:val="00C968BB"/>
    <w:rsid w:val="00CA7D4F"/>
    <w:rsid w:val="00CC592C"/>
    <w:rsid w:val="00CD6571"/>
    <w:rsid w:val="00D01B1A"/>
    <w:rsid w:val="00D12546"/>
    <w:rsid w:val="00D52824"/>
    <w:rsid w:val="00DA6DD5"/>
    <w:rsid w:val="00DA7567"/>
    <w:rsid w:val="00DC4F33"/>
    <w:rsid w:val="00DC5FE6"/>
    <w:rsid w:val="00DD0B59"/>
    <w:rsid w:val="00DE5771"/>
    <w:rsid w:val="00DF001B"/>
    <w:rsid w:val="00E011C2"/>
    <w:rsid w:val="00E13B9F"/>
    <w:rsid w:val="00E15C81"/>
    <w:rsid w:val="00E23530"/>
    <w:rsid w:val="00E32822"/>
    <w:rsid w:val="00E462A1"/>
    <w:rsid w:val="00E7521D"/>
    <w:rsid w:val="00EA23BC"/>
    <w:rsid w:val="00EA331D"/>
    <w:rsid w:val="00EB0F0F"/>
    <w:rsid w:val="00EB2458"/>
    <w:rsid w:val="00EC106A"/>
    <w:rsid w:val="00EE3929"/>
    <w:rsid w:val="00EF17B7"/>
    <w:rsid w:val="00F02C40"/>
    <w:rsid w:val="00F501F7"/>
    <w:rsid w:val="00F51E21"/>
    <w:rsid w:val="00F53719"/>
    <w:rsid w:val="00F568CE"/>
    <w:rsid w:val="00F74454"/>
    <w:rsid w:val="00F83A1F"/>
    <w:rsid w:val="00FA71BE"/>
    <w:rsid w:val="00FB4360"/>
    <w:rsid w:val="00FB76A7"/>
    <w:rsid w:val="00FF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20AD48"/>
  <w15:chartTrackingRefBased/>
  <w15:docId w15:val="{8B7A5E32-B149-4AFA-BEF0-4B116F2A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40"/>
    <w:pPr>
      <w:spacing w:before="200" w:after="200" w:line="276" w:lineRule="auto"/>
    </w:pPr>
    <w:rPr>
      <w:rFonts w:eastAsiaTheme="minorEastAsia"/>
      <w:sz w:val="21"/>
      <w:szCs w:val="24"/>
    </w:rPr>
  </w:style>
  <w:style w:type="paragraph" w:styleId="Heading1">
    <w:name w:val="heading 1"/>
    <w:basedOn w:val="Normal"/>
    <w:next w:val="Normal"/>
    <w:link w:val="Heading1Char"/>
    <w:uiPriority w:val="9"/>
    <w:qFormat/>
    <w:rsid w:val="00783140"/>
    <w:pPr>
      <w:spacing w:after="0"/>
      <w:outlineLvl w:val="0"/>
    </w:pPr>
    <w:rPr>
      <w:rFonts w:asciiTheme="majorHAnsi" w:hAnsiTheme="majorHAnsi"/>
      <w:b/>
      <w:bCs/>
      <w:caps/>
      <w:spacing w:val="15"/>
      <w:sz w:val="36"/>
      <w:szCs w:val="22"/>
    </w:rPr>
  </w:style>
  <w:style w:type="paragraph" w:styleId="Heading2">
    <w:name w:val="heading 2"/>
    <w:basedOn w:val="Normal"/>
    <w:next w:val="Normal"/>
    <w:link w:val="Heading2Char"/>
    <w:uiPriority w:val="9"/>
    <w:semiHidden/>
    <w:unhideWhenUsed/>
    <w:qFormat/>
    <w:rsid w:val="00A332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40"/>
    <w:rPr>
      <w:rFonts w:asciiTheme="majorHAnsi" w:eastAsiaTheme="minorEastAsia" w:hAnsiTheme="majorHAnsi"/>
      <w:b/>
      <w:bCs/>
      <w:caps/>
      <w:noProof/>
      <w:spacing w:val="15"/>
      <w:sz w:val="36"/>
    </w:rPr>
  </w:style>
  <w:style w:type="paragraph" w:styleId="NoSpacing">
    <w:name w:val="No Spacing"/>
    <w:basedOn w:val="Normal"/>
    <w:link w:val="NoSpacingChar"/>
    <w:uiPriority w:val="1"/>
    <w:rsid w:val="00783140"/>
    <w:pPr>
      <w:spacing w:before="0" w:after="0" w:line="240" w:lineRule="auto"/>
    </w:pPr>
  </w:style>
  <w:style w:type="character" w:customStyle="1" w:styleId="NoSpacingChar">
    <w:name w:val="No Spacing Char"/>
    <w:basedOn w:val="DefaultParagraphFont"/>
    <w:link w:val="NoSpacing"/>
    <w:uiPriority w:val="1"/>
    <w:rsid w:val="00783140"/>
    <w:rPr>
      <w:rFonts w:eastAsiaTheme="minorEastAsia"/>
      <w:noProof/>
      <w:sz w:val="21"/>
      <w:szCs w:val="24"/>
    </w:rPr>
  </w:style>
  <w:style w:type="paragraph" w:styleId="TOC1">
    <w:name w:val="toc 1"/>
    <w:basedOn w:val="Normal"/>
    <w:next w:val="TOC2"/>
    <w:uiPriority w:val="39"/>
    <w:rsid w:val="00783140"/>
    <w:pPr>
      <w:ind w:left="360" w:right="360"/>
    </w:pPr>
    <w:rPr>
      <w:b/>
      <w:caps/>
      <w:color w:val="FFFFFF" w:themeColor="background1"/>
      <w:sz w:val="36"/>
      <w:szCs w:val="22"/>
      <w:lang w:eastAsia="ja-JP"/>
    </w:rPr>
  </w:style>
  <w:style w:type="paragraph" w:styleId="TOC2">
    <w:name w:val="toc 2"/>
    <w:basedOn w:val="Normal"/>
    <w:next w:val="Normal"/>
    <w:autoRedefine/>
    <w:uiPriority w:val="39"/>
    <w:rsid w:val="00160B98"/>
    <w:pPr>
      <w:spacing w:before="0" w:after="0"/>
    </w:pPr>
    <w:rPr>
      <w:rFonts w:ascii="Book Antiqua" w:eastAsia="Book Antiqua" w:hAnsi="Book Antiqua" w:cs="Times New Roman"/>
      <w:b/>
      <w:color w:val="4D4436"/>
      <w:sz w:val="72"/>
      <w:szCs w:val="72"/>
      <w:lang w:eastAsia="ja-JP"/>
    </w:rPr>
  </w:style>
  <w:style w:type="paragraph" w:customStyle="1" w:styleId="Info">
    <w:name w:val="Info"/>
    <w:basedOn w:val="Normal"/>
    <w:qFormat/>
    <w:rsid w:val="00783140"/>
    <w:pPr>
      <w:spacing w:before="120" w:after="120"/>
    </w:pPr>
    <w:rPr>
      <w:b/>
      <w:caps/>
      <w:color w:val="ED7D31" w:themeColor="accent2"/>
      <w:sz w:val="24"/>
    </w:rPr>
  </w:style>
  <w:style w:type="character" w:customStyle="1" w:styleId="Heading2Char">
    <w:name w:val="Heading 2 Char"/>
    <w:basedOn w:val="DefaultParagraphFont"/>
    <w:link w:val="Heading2"/>
    <w:uiPriority w:val="9"/>
    <w:semiHidden/>
    <w:rsid w:val="00A33292"/>
    <w:rPr>
      <w:rFonts w:asciiTheme="majorHAnsi" w:eastAsiaTheme="majorEastAsia" w:hAnsiTheme="majorHAnsi" w:cstheme="majorBidi"/>
      <w:noProof/>
      <w:color w:val="2F5496" w:themeColor="accent1" w:themeShade="BF"/>
      <w:sz w:val="26"/>
      <w:szCs w:val="26"/>
    </w:rPr>
  </w:style>
  <w:style w:type="paragraph" w:styleId="ListParagraph">
    <w:name w:val="List Paragraph"/>
    <w:basedOn w:val="Normal"/>
    <w:uiPriority w:val="34"/>
    <w:qFormat/>
    <w:rsid w:val="00A34C4E"/>
    <w:pPr>
      <w:ind w:left="720"/>
      <w:contextualSpacing/>
    </w:pPr>
  </w:style>
  <w:style w:type="table" w:styleId="TableGrid">
    <w:name w:val="Table Grid"/>
    <w:basedOn w:val="TableNormal"/>
    <w:uiPriority w:val="39"/>
    <w:rsid w:val="005B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99A"/>
    <w:rPr>
      <w:color w:val="0563C1" w:themeColor="hyperlink"/>
      <w:u w:val="single"/>
    </w:rPr>
  </w:style>
  <w:style w:type="character" w:styleId="UnresolvedMention">
    <w:name w:val="Unresolved Mention"/>
    <w:basedOn w:val="DefaultParagraphFont"/>
    <w:uiPriority w:val="99"/>
    <w:semiHidden/>
    <w:unhideWhenUsed/>
    <w:rsid w:val="0087599A"/>
    <w:rPr>
      <w:color w:val="605E5C"/>
      <w:shd w:val="clear" w:color="auto" w:fill="E1DFDD"/>
    </w:rPr>
  </w:style>
  <w:style w:type="character" w:styleId="FollowedHyperlink">
    <w:name w:val="FollowedHyperlink"/>
    <w:basedOn w:val="DefaultParagraphFont"/>
    <w:uiPriority w:val="99"/>
    <w:semiHidden/>
    <w:unhideWhenUsed/>
    <w:rsid w:val="0087599A"/>
    <w:rPr>
      <w:color w:val="954F72" w:themeColor="followedHyperlink"/>
      <w:u w:val="single"/>
    </w:rPr>
  </w:style>
  <w:style w:type="table" w:customStyle="1" w:styleId="TableLayout">
    <w:name w:val="Table Layout"/>
    <w:basedOn w:val="TableNormal"/>
    <w:uiPriority w:val="99"/>
    <w:rsid w:val="00315070"/>
    <w:pPr>
      <w:spacing w:after="180" w:line="288" w:lineRule="auto"/>
    </w:pPr>
    <w:rPr>
      <w:color w:val="50637D" w:themeColor="text2" w:themeTint="E6"/>
      <w:sz w:val="18"/>
      <w:szCs w:val="20"/>
      <w:lang w:eastAsia="ja-JP"/>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Potrzeba</dc:creator>
  <cp:keywords/>
  <dc:description/>
  <cp:lastModifiedBy>Jen Potrzeba</cp:lastModifiedBy>
  <cp:revision>48</cp:revision>
  <cp:lastPrinted>2023-09-11T13:11:00Z</cp:lastPrinted>
  <dcterms:created xsi:type="dcterms:W3CDTF">2023-09-11T12:42:00Z</dcterms:created>
  <dcterms:modified xsi:type="dcterms:W3CDTF">2023-09-11T13:25:00Z</dcterms:modified>
</cp:coreProperties>
</file>